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85A" w:rsidRDefault="00DE085A">
      <w:pPr>
        <w:pStyle w:val="Textoindependiente"/>
        <w:rPr>
          <w:rFonts w:ascii="Times New Roman"/>
          <w:sz w:val="20"/>
        </w:rPr>
      </w:pPr>
    </w:p>
    <w:p w:rsidR="00DE085A" w:rsidRDefault="00DE085A">
      <w:pPr>
        <w:pStyle w:val="Textoindependiente"/>
        <w:rPr>
          <w:rFonts w:ascii="Times New Roman"/>
          <w:sz w:val="20"/>
        </w:rPr>
      </w:pPr>
    </w:p>
    <w:p w:rsidR="008615A6" w:rsidRDefault="008615A6" w:rsidP="007B5D1A">
      <w:pPr>
        <w:jc w:val="both"/>
        <w:rPr>
          <w:rFonts w:ascii="Verdana" w:hAnsi="Verdana"/>
          <w:sz w:val="28"/>
          <w:szCs w:val="28"/>
        </w:rPr>
      </w:pPr>
      <w:r>
        <w:rPr>
          <w:rFonts w:ascii="Verdana" w:hAnsi="Verdana"/>
          <w:sz w:val="28"/>
          <w:szCs w:val="28"/>
        </w:rPr>
        <w:t>Propuestas de CERMI-Aragón para</w:t>
      </w:r>
      <w:r w:rsidRPr="008615A6">
        <w:rPr>
          <w:rFonts w:ascii="Verdana" w:hAnsi="Verdana"/>
          <w:sz w:val="28"/>
          <w:szCs w:val="28"/>
        </w:rPr>
        <w:t xml:space="preserve"> elaborar la Orden de la Consejera de Ciudadanía y Derechos Sociales por la que se Regula la Acción Concertada en Materia de Prestación de Servicios Sociales</w:t>
      </w:r>
      <w:r>
        <w:rPr>
          <w:rFonts w:ascii="Verdana" w:hAnsi="Verdana"/>
          <w:sz w:val="28"/>
          <w:szCs w:val="28"/>
        </w:rPr>
        <w:t>.</w:t>
      </w:r>
    </w:p>
    <w:p w:rsidR="008615A6" w:rsidRDefault="008615A6" w:rsidP="007B5D1A">
      <w:pPr>
        <w:jc w:val="both"/>
        <w:rPr>
          <w:rFonts w:ascii="Verdana" w:hAnsi="Verdana"/>
          <w:sz w:val="28"/>
          <w:szCs w:val="28"/>
        </w:rPr>
      </w:pPr>
    </w:p>
    <w:p w:rsidR="008615A6" w:rsidRDefault="008615A6" w:rsidP="007B5D1A">
      <w:pPr>
        <w:jc w:val="both"/>
        <w:rPr>
          <w:rFonts w:ascii="Verdana" w:hAnsi="Verdana"/>
          <w:sz w:val="28"/>
          <w:szCs w:val="28"/>
        </w:rPr>
      </w:pPr>
      <w:r w:rsidRPr="008615A6">
        <w:rPr>
          <w:rFonts w:ascii="Verdana" w:hAnsi="Verdana"/>
          <w:sz w:val="28"/>
          <w:szCs w:val="28"/>
        </w:rPr>
        <w:t>Servicios y prestaciones que pueden ser objeto de concierto:</w:t>
      </w:r>
    </w:p>
    <w:p w:rsidR="008615A6" w:rsidRPr="008615A6" w:rsidRDefault="008615A6" w:rsidP="007B5D1A">
      <w:pPr>
        <w:jc w:val="both"/>
        <w:rPr>
          <w:rFonts w:ascii="Verdana" w:hAnsi="Verdana"/>
          <w:sz w:val="28"/>
          <w:szCs w:val="28"/>
        </w:rPr>
      </w:pPr>
    </w:p>
    <w:p w:rsidR="008615A6" w:rsidRDefault="008615A6" w:rsidP="007B5D1A">
      <w:pPr>
        <w:jc w:val="both"/>
        <w:rPr>
          <w:rFonts w:ascii="Verdana" w:hAnsi="Verdana"/>
          <w:sz w:val="28"/>
          <w:szCs w:val="28"/>
        </w:rPr>
      </w:pPr>
      <w:r w:rsidRPr="008615A6">
        <w:rPr>
          <w:rFonts w:ascii="Verdana" w:hAnsi="Verdana"/>
          <w:sz w:val="28"/>
          <w:szCs w:val="28"/>
        </w:rPr>
        <w:t>Propuesta:</w:t>
      </w:r>
    </w:p>
    <w:p w:rsidR="008615A6" w:rsidRPr="008615A6" w:rsidRDefault="008615A6" w:rsidP="007B5D1A">
      <w:pPr>
        <w:jc w:val="both"/>
        <w:rPr>
          <w:rFonts w:ascii="Verdana" w:hAnsi="Verdana"/>
          <w:sz w:val="28"/>
          <w:szCs w:val="28"/>
        </w:rPr>
      </w:pPr>
    </w:p>
    <w:p w:rsidR="008615A6" w:rsidRDefault="008615A6" w:rsidP="007B5D1A">
      <w:pPr>
        <w:jc w:val="both"/>
        <w:rPr>
          <w:rFonts w:ascii="Verdana" w:hAnsi="Verdana"/>
          <w:sz w:val="28"/>
          <w:szCs w:val="28"/>
        </w:rPr>
      </w:pPr>
      <w:r w:rsidRPr="008615A6">
        <w:rPr>
          <w:rFonts w:ascii="Verdana" w:hAnsi="Verdana"/>
          <w:sz w:val="28"/>
          <w:szCs w:val="28"/>
        </w:rPr>
        <w:t>A los ya concertados, priorizar del catálogo de Servicios Sociales de la Comunidad Autónoma de Aragón:</w:t>
      </w:r>
    </w:p>
    <w:p w:rsidR="008615A6" w:rsidRPr="008615A6" w:rsidRDefault="008615A6" w:rsidP="007B5D1A">
      <w:pPr>
        <w:jc w:val="both"/>
        <w:rPr>
          <w:rFonts w:ascii="Verdana" w:hAnsi="Verdana"/>
          <w:sz w:val="28"/>
          <w:szCs w:val="28"/>
        </w:rPr>
      </w:pPr>
    </w:p>
    <w:p w:rsidR="008615A6" w:rsidRDefault="008615A6" w:rsidP="007B5D1A">
      <w:pPr>
        <w:jc w:val="both"/>
        <w:rPr>
          <w:rFonts w:ascii="Verdana" w:hAnsi="Verdana"/>
          <w:sz w:val="28"/>
          <w:szCs w:val="28"/>
        </w:rPr>
      </w:pPr>
      <w:r w:rsidRPr="008615A6">
        <w:rPr>
          <w:rFonts w:ascii="Verdana" w:hAnsi="Verdana"/>
          <w:sz w:val="28"/>
          <w:szCs w:val="28"/>
        </w:rPr>
        <w:t>1.1.1.4  Servicios de información y orientación especializada para personas con discapacidad</w:t>
      </w:r>
    </w:p>
    <w:p w:rsidR="008615A6" w:rsidRPr="008615A6" w:rsidRDefault="008615A6" w:rsidP="007B5D1A">
      <w:pPr>
        <w:jc w:val="both"/>
        <w:rPr>
          <w:rFonts w:ascii="Verdana" w:hAnsi="Verdana"/>
          <w:sz w:val="28"/>
          <w:szCs w:val="28"/>
        </w:rPr>
      </w:pPr>
    </w:p>
    <w:p w:rsidR="008615A6" w:rsidRDefault="008615A6" w:rsidP="007B5D1A">
      <w:pPr>
        <w:jc w:val="both"/>
        <w:rPr>
          <w:rFonts w:ascii="Verdana" w:hAnsi="Verdana"/>
          <w:sz w:val="28"/>
          <w:szCs w:val="28"/>
        </w:rPr>
      </w:pPr>
      <w:r w:rsidRPr="008615A6">
        <w:rPr>
          <w:rFonts w:ascii="Verdana" w:hAnsi="Verdana"/>
          <w:sz w:val="28"/>
          <w:szCs w:val="28"/>
        </w:rPr>
        <w:t>1.2.6.- Servicios de acompañamiento a los itinerarios individualizados de inserción</w:t>
      </w:r>
    </w:p>
    <w:p w:rsidR="008615A6" w:rsidRPr="008615A6" w:rsidRDefault="008615A6" w:rsidP="007B5D1A">
      <w:pPr>
        <w:jc w:val="both"/>
        <w:rPr>
          <w:rFonts w:ascii="Verdana" w:hAnsi="Verdana"/>
          <w:sz w:val="28"/>
          <w:szCs w:val="28"/>
        </w:rPr>
      </w:pPr>
    </w:p>
    <w:p w:rsidR="008615A6" w:rsidRPr="008615A6" w:rsidRDefault="008615A6" w:rsidP="007B5D1A">
      <w:pPr>
        <w:jc w:val="both"/>
        <w:rPr>
          <w:rFonts w:ascii="Verdana" w:hAnsi="Verdana"/>
          <w:sz w:val="28"/>
          <w:szCs w:val="28"/>
        </w:rPr>
      </w:pPr>
      <w:r w:rsidRPr="008615A6">
        <w:rPr>
          <w:rFonts w:ascii="Verdana" w:hAnsi="Verdana"/>
          <w:sz w:val="28"/>
          <w:szCs w:val="28"/>
        </w:rPr>
        <w:t>1.2.8:</w:t>
      </w:r>
    </w:p>
    <w:p w:rsidR="008615A6" w:rsidRPr="008615A6" w:rsidRDefault="008615A6" w:rsidP="007B5D1A">
      <w:pPr>
        <w:jc w:val="both"/>
        <w:rPr>
          <w:rFonts w:ascii="Verdana" w:hAnsi="Verdana"/>
          <w:sz w:val="28"/>
          <w:szCs w:val="28"/>
        </w:rPr>
      </w:pPr>
      <w:r w:rsidRPr="008615A6">
        <w:rPr>
          <w:rFonts w:ascii="Verdana" w:hAnsi="Verdana"/>
          <w:sz w:val="28"/>
          <w:szCs w:val="28"/>
        </w:rPr>
        <w:t>1.2.8.1 Servicio de prevención de la dependencia</w:t>
      </w:r>
    </w:p>
    <w:p w:rsidR="008615A6" w:rsidRPr="008615A6" w:rsidRDefault="008615A6" w:rsidP="007B5D1A">
      <w:pPr>
        <w:jc w:val="both"/>
        <w:rPr>
          <w:rFonts w:ascii="Verdana" w:hAnsi="Verdana"/>
          <w:sz w:val="28"/>
          <w:szCs w:val="28"/>
        </w:rPr>
      </w:pPr>
      <w:r w:rsidRPr="008615A6">
        <w:rPr>
          <w:rFonts w:ascii="Verdana" w:hAnsi="Verdana"/>
          <w:sz w:val="28"/>
          <w:szCs w:val="28"/>
        </w:rPr>
        <w:t>1.2.8.2 Servicio de promoción de la autonomía personal</w:t>
      </w:r>
    </w:p>
    <w:p w:rsidR="008615A6" w:rsidRPr="008615A6" w:rsidRDefault="008615A6" w:rsidP="007B5D1A">
      <w:pPr>
        <w:jc w:val="both"/>
        <w:rPr>
          <w:rFonts w:ascii="Verdana" w:hAnsi="Verdana"/>
          <w:sz w:val="28"/>
          <w:szCs w:val="28"/>
        </w:rPr>
      </w:pPr>
      <w:r w:rsidRPr="008615A6">
        <w:rPr>
          <w:rFonts w:ascii="Verdana" w:hAnsi="Verdana"/>
          <w:sz w:val="28"/>
          <w:szCs w:val="28"/>
        </w:rPr>
        <w:t>1.2.8.3 Servicio de formación para cuidadores de personas en situación de dependencia</w:t>
      </w:r>
    </w:p>
    <w:p w:rsidR="008615A6" w:rsidRPr="008615A6" w:rsidRDefault="008615A6" w:rsidP="007B5D1A">
      <w:pPr>
        <w:jc w:val="both"/>
        <w:rPr>
          <w:rFonts w:ascii="Verdana" w:hAnsi="Verdana"/>
          <w:sz w:val="28"/>
          <w:szCs w:val="28"/>
        </w:rPr>
      </w:pPr>
    </w:p>
    <w:p w:rsidR="008615A6" w:rsidRPr="008615A6" w:rsidRDefault="008615A6" w:rsidP="007B5D1A">
      <w:pPr>
        <w:jc w:val="both"/>
        <w:rPr>
          <w:rFonts w:ascii="Verdana" w:hAnsi="Verdana"/>
          <w:sz w:val="28"/>
          <w:szCs w:val="28"/>
        </w:rPr>
      </w:pPr>
      <w:r>
        <w:rPr>
          <w:rFonts w:ascii="Verdana" w:hAnsi="Verdana"/>
          <w:sz w:val="28"/>
          <w:szCs w:val="28"/>
        </w:rPr>
        <w:t>C</w:t>
      </w:r>
      <w:r w:rsidRPr="008615A6">
        <w:rPr>
          <w:rFonts w:ascii="Verdana" w:hAnsi="Verdana"/>
          <w:sz w:val="28"/>
          <w:szCs w:val="28"/>
        </w:rPr>
        <w:t>ontinuidad de la atención temprana, ATENCION POSTEMPRANA, que aparece en el catálogo entre los 6  y los 12 años…</w:t>
      </w:r>
    </w:p>
    <w:p w:rsidR="008615A6" w:rsidRPr="008615A6" w:rsidRDefault="008615A6" w:rsidP="007B5D1A">
      <w:pPr>
        <w:jc w:val="both"/>
        <w:rPr>
          <w:rFonts w:ascii="Verdana" w:hAnsi="Verdana"/>
          <w:sz w:val="28"/>
          <w:szCs w:val="28"/>
        </w:rPr>
      </w:pPr>
    </w:p>
    <w:p w:rsidR="008615A6" w:rsidRPr="008615A6" w:rsidRDefault="008615A6" w:rsidP="007B5D1A">
      <w:pPr>
        <w:jc w:val="both"/>
        <w:rPr>
          <w:rFonts w:ascii="Verdana" w:hAnsi="Verdana"/>
          <w:sz w:val="28"/>
          <w:szCs w:val="28"/>
        </w:rPr>
      </w:pPr>
      <w:r w:rsidRPr="008615A6">
        <w:rPr>
          <w:rFonts w:ascii="Verdana" w:hAnsi="Verdana"/>
          <w:sz w:val="28"/>
          <w:szCs w:val="28"/>
        </w:rPr>
        <w:t xml:space="preserve">- Convocatoria de los procesos de concertación para que se garanticen los principios de solidaridad, igualdad, publicidad, transparencia y no discriminación. </w:t>
      </w:r>
    </w:p>
    <w:p w:rsidR="008615A6" w:rsidRPr="008615A6" w:rsidRDefault="008615A6" w:rsidP="007B5D1A">
      <w:pPr>
        <w:jc w:val="both"/>
        <w:rPr>
          <w:rFonts w:ascii="Verdana" w:hAnsi="Verdana"/>
          <w:sz w:val="28"/>
          <w:szCs w:val="28"/>
        </w:rPr>
      </w:pPr>
      <w:r w:rsidRPr="008615A6">
        <w:rPr>
          <w:rFonts w:ascii="Verdana" w:hAnsi="Verdana"/>
          <w:sz w:val="28"/>
          <w:szCs w:val="28"/>
        </w:rPr>
        <w:t>Los adoptados hasta el momento  parecen suficientes</w:t>
      </w:r>
    </w:p>
    <w:p w:rsidR="008615A6" w:rsidRPr="008615A6" w:rsidRDefault="008615A6" w:rsidP="007B5D1A">
      <w:pPr>
        <w:jc w:val="both"/>
        <w:rPr>
          <w:rFonts w:ascii="Verdana" w:hAnsi="Verdana"/>
          <w:sz w:val="28"/>
          <w:szCs w:val="28"/>
        </w:rPr>
      </w:pPr>
    </w:p>
    <w:p w:rsidR="008615A6" w:rsidRDefault="008615A6" w:rsidP="007B5D1A">
      <w:pPr>
        <w:jc w:val="both"/>
        <w:rPr>
          <w:rFonts w:ascii="Verdana" w:hAnsi="Verdana"/>
          <w:sz w:val="28"/>
          <w:szCs w:val="28"/>
        </w:rPr>
      </w:pPr>
      <w:r w:rsidRPr="008615A6">
        <w:rPr>
          <w:rFonts w:ascii="Verdana" w:hAnsi="Verdana"/>
          <w:sz w:val="28"/>
          <w:szCs w:val="28"/>
        </w:rPr>
        <w:t xml:space="preserve">- Requisitos que deben cumplir las entidades que concurren a la convocatoria. </w:t>
      </w:r>
    </w:p>
    <w:p w:rsidR="008615A6" w:rsidRDefault="008615A6" w:rsidP="007B5D1A">
      <w:pPr>
        <w:jc w:val="both"/>
        <w:rPr>
          <w:rFonts w:ascii="Verdana" w:hAnsi="Verdana"/>
          <w:sz w:val="28"/>
          <w:szCs w:val="28"/>
        </w:rPr>
      </w:pPr>
    </w:p>
    <w:p w:rsidR="008615A6" w:rsidRDefault="008615A6" w:rsidP="007B5D1A">
      <w:pPr>
        <w:jc w:val="both"/>
        <w:rPr>
          <w:rFonts w:ascii="Verdana" w:hAnsi="Verdana"/>
          <w:sz w:val="28"/>
          <w:szCs w:val="28"/>
        </w:rPr>
      </w:pPr>
    </w:p>
    <w:p w:rsidR="008615A6" w:rsidRPr="008615A6" w:rsidRDefault="008615A6" w:rsidP="007B5D1A">
      <w:pPr>
        <w:jc w:val="both"/>
        <w:rPr>
          <w:rFonts w:ascii="Verdana" w:hAnsi="Verdana"/>
          <w:sz w:val="28"/>
          <w:szCs w:val="28"/>
        </w:rPr>
      </w:pPr>
    </w:p>
    <w:p w:rsidR="008615A6" w:rsidRDefault="008615A6" w:rsidP="007B5D1A">
      <w:pPr>
        <w:jc w:val="both"/>
        <w:rPr>
          <w:rFonts w:ascii="Verdana" w:hAnsi="Verdana"/>
          <w:sz w:val="28"/>
          <w:szCs w:val="28"/>
        </w:rPr>
      </w:pPr>
      <w:r w:rsidRPr="008615A6">
        <w:rPr>
          <w:rFonts w:ascii="Verdana" w:hAnsi="Verdana"/>
          <w:sz w:val="28"/>
          <w:szCs w:val="28"/>
        </w:rPr>
        <w:lastRenderedPageBreak/>
        <w:t xml:space="preserve">Propuesta </w:t>
      </w:r>
    </w:p>
    <w:p w:rsidR="008615A6" w:rsidRPr="008615A6" w:rsidRDefault="008615A6" w:rsidP="007B5D1A">
      <w:pPr>
        <w:jc w:val="both"/>
        <w:rPr>
          <w:rFonts w:ascii="Verdana" w:hAnsi="Verdana"/>
          <w:sz w:val="28"/>
          <w:szCs w:val="28"/>
        </w:rPr>
      </w:pPr>
    </w:p>
    <w:p w:rsidR="008615A6" w:rsidRDefault="008615A6" w:rsidP="007B5D1A">
      <w:pPr>
        <w:jc w:val="both"/>
        <w:rPr>
          <w:rFonts w:ascii="Verdana" w:hAnsi="Verdana"/>
          <w:sz w:val="28"/>
          <w:szCs w:val="28"/>
        </w:rPr>
      </w:pPr>
      <w:r>
        <w:rPr>
          <w:rFonts w:ascii="Verdana" w:hAnsi="Verdana"/>
          <w:sz w:val="28"/>
          <w:szCs w:val="28"/>
        </w:rPr>
        <w:t>- A</w:t>
      </w:r>
      <w:r w:rsidRPr="008615A6">
        <w:rPr>
          <w:rFonts w:ascii="Verdana" w:hAnsi="Verdana"/>
          <w:sz w:val="28"/>
          <w:szCs w:val="28"/>
        </w:rPr>
        <w:t>ntigüedad y experiencia en el sector, en la especialidad a la que opta (discapacidad), mínima 10 años</w:t>
      </w:r>
    </w:p>
    <w:p w:rsidR="008615A6" w:rsidRPr="008615A6" w:rsidRDefault="008615A6" w:rsidP="007B5D1A">
      <w:pPr>
        <w:jc w:val="both"/>
        <w:rPr>
          <w:rFonts w:ascii="Verdana" w:hAnsi="Verdana"/>
          <w:sz w:val="28"/>
          <w:szCs w:val="28"/>
        </w:rPr>
      </w:pPr>
    </w:p>
    <w:p w:rsidR="008615A6" w:rsidRDefault="008615A6" w:rsidP="007B5D1A">
      <w:pPr>
        <w:jc w:val="both"/>
        <w:rPr>
          <w:rFonts w:ascii="Verdana" w:hAnsi="Verdana"/>
          <w:sz w:val="28"/>
          <w:szCs w:val="28"/>
        </w:rPr>
      </w:pPr>
      <w:r w:rsidRPr="008615A6">
        <w:rPr>
          <w:rFonts w:ascii="Verdana" w:hAnsi="Verdana"/>
          <w:sz w:val="28"/>
          <w:szCs w:val="28"/>
        </w:rPr>
        <w:t>- Incorporar en los requisitos de la entidad clausulas sociales y de sostenibilidad:</w:t>
      </w:r>
    </w:p>
    <w:p w:rsidR="008615A6" w:rsidRPr="008615A6" w:rsidRDefault="008615A6" w:rsidP="007B5D1A">
      <w:pPr>
        <w:jc w:val="both"/>
        <w:rPr>
          <w:rFonts w:ascii="Verdana" w:hAnsi="Verdana"/>
          <w:sz w:val="28"/>
          <w:szCs w:val="28"/>
        </w:rPr>
      </w:pPr>
    </w:p>
    <w:p w:rsidR="008615A6" w:rsidRPr="008615A6" w:rsidRDefault="008615A6" w:rsidP="007B5D1A">
      <w:pPr>
        <w:jc w:val="both"/>
        <w:rPr>
          <w:rFonts w:ascii="Verdana" w:hAnsi="Verdana"/>
          <w:sz w:val="28"/>
          <w:szCs w:val="28"/>
        </w:rPr>
      </w:pPr>
      <w:r w:rsidRPr="008615A6">
        <w:rPr>
          <w:rFonts w:ascii="Verdana" w:hAnsi="Verdana"/>
          <w:sz w:val="28"/>
          <w:szCs w:val="28"/>
        </w:rPr>
        <w:t>•         Adscripción como mínimo al convenio laboral del Tercer Sector y/o Discapacidad, según objeto del convenio</w:t>
      </w:r>
    </w:p>
    <w:p w:rsidR="008615A6" w:rsidRDefault="008615A6" w:rsidP="007B5D1A">
      <w:pPr>
        <w:jc w:val="both"/>
        <w:rPr>
          <w:rFonts w:ascii="Verdana" w:hAnsi="Verdana"/>
          <w:sz w:val="28"/>
          <w:szCs w:val="28"/>
        </w:rPr>
      </w:pPr>
      <w:r w:rsidRPr="008615A6">
        <w:rPr>
          <w:rFonts w:ascii="Verdana" w:hAnsi="Verdana"/>
          <w:sz w:val="28"/>
          <w:szCs w:val="28"/>
        </w:rPr>
        <w:t>•         Aseguramiento de que a través de esos convenios y/o en clausulas separadas puede demostrar actualización anual del  cumplimiento de</w:t>
      </w:r>
    </w:p>
    <w:p w:rsidR="008615A6" w:rsidRPr="008615A6" w:rsidRDefault="008615A6" w:rsidP="007B5D1A">
      <w:pPr>
        <w:jc w:val="both"/>
        <w:rPr>
          <w:rFonts w:ascii="Verdana" w:hAnsi="Verdana"/>
          <w:sz w:val="28"/>
          <w:szCs w:val="28"/>
        </w:rPr>
      </w:pPr>
    </w:p>
    <w:p w:rsidR="008615A6" w:rsidRPr="008615A6" w:rsidRDefault="008615A6" w:rsidP="007B5D1A">
      <w:pPr>
        <w:jc w:val="both"/>
        <w:rPr>
          <w:rFonts w:ascii="Verdana" w:hAnsi="Verdana"/>
          <w:sz w:val="28"/>
          <w:szCs w:val="28"/>
        </w:rPr>
      </w:pPr>
      <w:r w:rsidRPr="008615A6">
        <w:rPr>
          <w:rFonts w:ascii="Verdana" w:hAnsi="Verdana"/>
          <w:sz w:val="28"/>
          <w:szCs w:val="28"/>
        </w:rPr>
        <w:t xml:space="preserve">Planes de Igualdad, </w:t>
      </w:r>
    </w:p>
    <w:p w:rsidR="008615A6" w:rsidRPr="008615A6" w:rsidRDefault="008615A6" w:rsidP="007B5D1A">
      <w:pPr>
        <w:jc w:val="both"/>
        <w:rPr>
          <w:rFonts w:ascii="Verdana" w:hAnsi="Verdana"/>
          <w:sz w:val="28"/>
          <w:szCs w:val="28"/>
        </w:rPr>
      </w:pPr>
      <w:r w:rsidRPr="008615A6">
        <w:rPr>
          <w:rFonts w:ascii="Verdana" w:hAnsi="Verdana"/>
          <w:sz w:val="28"/>
          <w:szCs w:val="28"/>
        </w:rPr>
        <w:t xml:space="preserve">Prevención para la Salud, </w:t>
      </w:r>
    </w:p>
    <w:p w:rsidR="008615A6" w:rsidRPr="008615A6" w:rsidRDefault="008615A6" w:rsidP="007B5D1A">
      <w:pPr>
        <w:jc w:val="both"/>
        <w:rPr>
          <w:rFonts w:ascii="Verdana" w:hAnsi="Verdana"/>
          <w:sz w:val="28"/>
          <w:szCs w:val="28"/>
        </w:rPr>
      </w:pPr>
      <w:r w:rsidRPr="008615A6">
        <w:rPr>
          <w:rFonts w:ascii="Verdana" w:hAnsi="Verdana"/>
          <w:sz w:val="28"/>
          <w:szCs w:val="28"/>
        </w:rPr>
        <w:t xml:space="preserve">Mínimo 25 Horas de Formación anual por parte de </w:t>
      </w:r>
      <w:r>
        <w:rPr>
          <w:rFonts w:ascii="Verdana" w:hAnsi="Verdana"/>
          <w:sz w:val="28"/>
          <w:szCs w:val="28"/>
        </w:rPr>
        <w:tab/>
        <w:t xml:space="preserve">     </w:t>
      </w:r>
      <w:r w:rsidR="007B5D1A">
        <w:rPr>
          <w:rFonts w:ascii="Verdana" w:hAnsi="Verdana"/>
          <w:sz w:val="28"/>
          <w:szCs w:val="28"/>
        </w:rPr>
        <w:t xml:space="preserve">   </w:t>
      </w:r>
      <w:r w:rsidRPr="008615A6">
        <w:rPr>
          <w:rFonts w:ascii="Verdana" w:hAnsi="Verdana"/>
          <w:sz w:val="28"/>
          <w:szCs w:val="28"/>
        </w:rPr>
        <w:t>la empresa</w:t>
      </w:r>
    </w:p>
    <w:p w:rsidR="007B5D1A" w:rsidRDefault="007B5D1A" w:rsidP="007B5D1A">
      <w:pPr>
        <w:jc w:val="both"/>
        <w:rPr>
          <w:rFonts w:ascii="Verdana" w:hAnsi="Verdana"/>
          <w:sz w:val="28"/>
          <w:szCs w:val="28"/>
        </w:rPr>
      </w:pPr>
    </w:p>
    <w:p w:rsidR="008615A6" w:rsidRDefault="008615A6" w:rsidP="007B5D1A">
      <w:pPr>
        <w:jc w:val="both"/>
        <w:rPr>
          <w:rFonts w:ascii="Verdana" w:hAnsi="Verdana"/>
          <w:sz w:val="28"/>
          <w:szCs w:val="28"/>
        </w:rPr>
      </w:pPr>
      <w:r w:rsidRPr="008615A6">
        <w:rPr>
          <w:rFonts w:ascii="Verdana" w:hAnsi="Verdana"/>
          <w:sz w:val="28"/>
          <w:szCs w:val="28"/>
        </w:rPr>
        <w:t>Planes de sostenibilidad medioambiental, ODS, sistemas de certificación de la calidad (con un sistema de calidad que realmente mida y controle la acción de los servicios             sociales)</w:t>
      </w:r>
    </w:p>
    <w:p w:rsidR="008615A6" w:rsidRPr="008615A6" w:rsidRDefault="008615A6" w:rsidP="007B5D1A">
      <w:pPr>
        <w:jc w:val="both"/>
        <w:rPr>
          <w:rFonts w:ascii="Verdana" w:hAnsi="Verdana"/>
          <w:sz w:val="28"/>
          <w:szCs w:val="28"/>
        </w:rPr>
      </w:pPr>
    </w:p>
    <w:p w:rsidR="008615A6" w:rsidRPr="008615A6" w:rsidRDefault="008615A6" w:rsidP="007B5D1A">
      <w:pPr>
        <w:jc w:val="both"/>
        <w:rPr>
          <w:rFonts w:ascii="Verdana" w:hAnsi="Verdana"/>
          <w:sz w:val="28"/>
          <w:szCs w:val="28"/>
        </w:rPr>
      </w:pPr>
      <w:r w:rsidRPr="008615A6">
        <w:rPr>
          <w:rFonts w:ascii="Verdana" w:hAnsi="Verdana"/>
          <w:sz w:val="28"/>
          <w:szCs w:val="28"/>
        </w:rPr>
        <w:t>•         Acreditación trabajo en Red con otros colectivos del sector y pertenencia y participación activa  en  entidades superiores de primer y segundo nivel</w:t>
      </w:r>
      <w:r>
        <w:rPr>
          <w:rFonts w:ascii="Verdana" w:hAnsi="Verdana"/>
          <w:sz w:val="28"/>
          <w:szCs w:val="28"/>
        </w:rPr>
        <w:t>.</w:t>
      </w:r>
    </w:p>
    <w:p w:rsidR="008615A6" w:rsidRPr="008615A6" w:rsidRDefault="008615A6" w:rsidP="007B5D1A">
      <w:pPr>
        <w:jc w:val="both"/>
        <w:rPr>
          <w:rFonts w:ascii="Verdana" w:hAnsi="Verdana"/>
          <w:sz w:val="28"/>
          <w:szCs w:val="28"/>
        </w:rPr>
      </w:pPr>
    </w:p>
    <w:p w:rsidR="008615A6" w:rsidRDefault="008615A6" w:rsidP="007B5D1A">
      <w:pPr>
        <w:jc w:val="both"/>
        <w:rPr>
          <w:rFonts w:ascii="Verdana" w:hAnsi="Verdana"/>
          <w:sz w:val="28"/>
          <w:szCs w:val="28"/>
        </w:rPr>
      </w:pPr>
      <w:r w:rsidRPr="008615A6">
        <w:rPr>
          <w:rFonts w:ascii="Verdana" w:hAnsi="Verdana"/>
          <w:sz w:val="28"/>
          <w:szCs w:val="28"/>
        </w:rPr>
        <w:t xml:space="preserve">- Procedimiento de concertación. </w:t>
      </w:r>
    </w:p>
    <w:p w:rsidR="008615A6" w:rsidRPr="008615A6" w:rsidRDefault="008615A6" w:rsidP="007B5D1A">
      <w:pPr>
        <w:jc w:val="both"/>
        <w:rPr>
          <w:rFonts w:ascii="Verdana" w:hAnsi="Verdana"/>
          <w:sz w:val="28"/>
          <w:szCs w:val="28"/>
        </w:rPr>
      </w:pPr>
    </w:p>
    <w:p w:rsidR="008615A6" w:rsidRDefault="008615A6" w:rsidP="007B5D1A">
      <w:pPr>
        <w:jc w:val="both"/>
        <w:rPr>
          <w:rFonts w:ascii="Verdana" w:hAnsi="Verdana"/>
          <w:sz w:val="28"/>
          <w:szCs w:val="28"/>
        </w:rPr>
      </w:pPr>
      <w:r w:rsidRPr="008615A6">
        <w:rPr>
          <w:rFonts w:ascii="Verdana" w:hAnsi="Verdana"/>
          <w:sz w:val="28"/>
          <w:szCs w:val="28"/>
        </w:rPr>
        <w:t>- Incluir los servicios a concertar en el Plan Estratégico de Servicios Sociales, dotando de un presupuesto estable interanual los servicios a concertar</w:t>
      </w:r>
      <w:r>
        <w:rPr>
          <w:rFonts w:ascii="Verdana" w:hAnsi="Verdana"/>
          <w:sz w:val="28"/>
          <w:szCs w:val="28"/>
        </w:rPr>
        <w:t>.</w:t>
      </w:r>
    </w:p>
    <w:p w:rsidR="008615A6" w:rsidRPr="008615A6" w:rsidRDefault="008615A6" w:rsidP="007B5D1A">
      <w:pPr>
        <w:jc w:val="both"/>
        <w:rPr>
          <w:rFonts w:ascii="Verdana" w:hAnsi="Verdana"/>
          <w:sz w:val="28"/>
          <w:szCs w:val="28"/>
        </w:rPr>
      </w:pPr>
    </w:p>
    <w:p w:rsidR="008615A6" w:rsidRDefault="008615A6" w:rsidP="007B5D1A">
      <w:pPr>
        <w:jc w:val="both"/>
        <w:rPr>
          <w:rFonts w:ascii="Verdana" w:hAnsi="Verdana"/>
          <w:sz w:val="28"/>
          <w:szCs w:val="28"/>
        </w:rPr>
      </w:pPr>
      <w:r w:rsidRPr="008615A6">
        <w:rPr>
          <w:rFonts w:ascii="Verdana" w:hAnsi="Verdana"/>
          <w:sz w:val="28"/>
          <w:szCs w:val="28"/>
        </w:rPr>
        <w:t>- Contar con centros acreditados para cada Acción a la que se opta (para ello, actualizar los requisitos del Decreto 111 para cada uno de los centros, e incorporar en ellos los nuevos servicios del catálogo no considerados todavía_ prevención de la dependencia y promoción de la autonomía_</w:t>
      </w:r>
    </w:p>
    <w:p w:rsidR="008615A6" w:rsidRPr="008615A6" w:rsidRDefault="008615A6" w:rsidP="007B5D1A">
      <w:pPr>
        <w:jc w:val="both"/>
        <w:rPr>
          <w:rFonts w:ascii="Verdana" w:hAnsi="Verdana"/>
          <w:sz w:val="28"/>
          <w:szCs w:val="28"/>
        </w:rPr>
      </w:pPr>
    </w:p>
    <w:p w:rsidR="008615A6" w:rsidRPr="008615A6" w:rsidRDefault="008615A6" w:rsidP="007B5D1A">
      <w:pPr>
        <w:jc w:val="both"/>
        <w:rPr>
          <w:rFonts w:ascii="Verdana" w:hAnsi="Verdana"/>
          <w:sz w:val="28"/>
          <w:szCs w:val="28"/>
        </w:rPr>
      </w:pPr>
      <w:r w:rsidRPr="008615A6">
        <w:rPr>
          <w:rFonts w:ascii="Verdana" w:hAnsi="Verdana"/>
          <w:sz w:val="28"/>
          <w:szCs w:val="28"/>
        </w:rPr>
        <w:t>- Incluir parámetro de calidad en los tiempos de inspección y acreditación de nuevos centros, en 6 meses</w:t>
      </w:r>
    </w:p>
    <w:p w:rsidR="008615A6" w:rsidRPr="008615A6" w:rsidRDefault="008615A6" w:rsidP="007B5D1A">
      <w:pPr>
        <w:jc w:val="both"/>
        <w:rPr>
          <w:rFonts w:ascii="Verdana" w:hAnsi="Verdana"/>
          <w:sz w:val="28"/>
          <w:szCs w:val="28"/>
        </w:rPr>
      </w:pPr>
    </w:p>
    <w:p w:rsidR="008615A6" w:rsidRPr="008615A6" w:rsidRDefault="008615A6" w:rsidP="007B5D1A">
      <w:pPr>
        <w:jc w:val="both"/>
        <w:rPr>
          <w:rFonts w:ascii="Verdana" w:hAnsi="Verdana"/>
          <w:sz w:val="28"/>
          <w:szCs w:val="28"/>
        </w:rPr>
      </w:pPr>
    </w:p>
    <w:p w:rsidR="008615A6" w:rsidRPr="008615A6" w:rsidRDefault="008615A6" w:rsidP="007B5D1A">
      <w:pPr>
        <w:jc w:val="both"/>
        <w:rPr>
          <w:rFonts w:ascii="Verdana" w:hAnsi="Verdana"/>
          <w:sz w:val="28"/>
          <w:szCs w:val="28"/>
        </w:rPr>
      </w:pPr>
      <w:r w:rsidRPr="008615A6">
        <w:rPr>
          <w:rFonts w:ascii="Verdana" w:hAnsi="Verdana"/>
          <w:sz w:val="28"/>
          <w:szCs w:val="28"/>
        </w:rPr>
        <w:t xml:space="preserve">- Fórmulas para la formalización de los conciertos. </w:t>
      </w:r>
    </w:p>
    <w:p w:rsidR="007B5D1A" w:rsidRDefault="007B5D1A" w:rsidP="007B5D1A">
      <w:pPr>
        <w:jc w:val="both"/>
        <w:rPr>
          <w:rFonts w:ascii="Verdana" w:hAnsi="Verdana"/>
          <w:sz w:val="28"/>
          <w:szCs w:val="28"/>
        </w:rPr>
      </w:pPr>
    </w:p>
    <w:p w:rsidR="008615A6" w:rsidRPr="008615A6" w:rsidRDefault="008615A6" w:rsidP="007B5D1A">
      <w:pPr>
        <w:jc w:val="both"/>
        <w:rPr>
          <w:rFonts w:ascii="Verdana" w:hAnsi="Verdana"/>
          <w:sz w:val="28"/>
          <w:szCs w:val="28"/>
        </w:rPr>
      </w:pPr>
      <w:r w:rsidRPr="008615A6">
        <w:rPr>
          <w:rFonts w:ascii="Verdana" w:hAnsi="Verdana"/>
          <w:sz w:val="28"/>
          <w:szCs w:val="28"/>
        </w:rPr>
        <w:t>Acción concertada interanual, 5 años prorrogables en otros 5</w:t>
      </w:r>
    </w:p>
    <w:p w:rsidR="008615A6" w:rsidRPr="008615A6" w:rsidRDefault="008615A6" w:rsidP="007B5D1A">
      <w:pPr>
        <w:jc w:val="both"/>
        <w:rPr>
          <w:rFonts w:ascii="Verdana" w:hAnsi="Verdana"/>
          <w:sz w:val="28"/>
          <w:szCs w:val="28"/>
        </w:rPr>
      </w:pPr>
    </w:p>
    <w:p w:rsidR="008615A6" w:rsidRDefault="008615A6" w:rsidP="007B5D1A">
      <w:pPr>
        <w:jc w:val="both"/>
        <w:rPr>
          <w:rFonts w:ascii="Verdana" w:hAnsi="Verdana"/>
          <w:sz w:val="28"/>
          <w:szCs w:val="28"/>
        </w:rPr>
      </w:pPr>
      <w:r w:rsidRPr="008615A6">
        <w:rPr>
          <w:rFonts w:ascii="Verdana" w:hAnsi="Verdana"/>
          <w:sz w:val="28"/>
          <w:szCs w:val="28"/>
        </w:rPr>
        <w:t xml:space="preserve">- Obligaciones de las partes. </w:t>
      </w:r>
    </w:p>
    <w:p w:rsidR="008615A6" w:rsidRPr="008615A6" w:rsidRDefault="008615A6" w:rsidP="007B5D1A">
      <w:pPr>
        <w:jc w:val="both"/>
        <w:rPr>
          <w:rFonts w:ascii="Verdana" w:hAnsi="Verdana"/>
          <w:sz w:val="28"/>
          <w:szCs w:val="28"/>
        </w:rPr>
      </w:pPr>
    </w:p>
    <w:p w:rsidR="008615A6" w:rsidRPr="008615A6" w:rsidRDefault="008615A6" w:rsidP="007B5D1A">
      <w:pPr>
        <w:jc w:val="both"/>
        <w:rPr>
          <w:rFonts w:ascii="Verdana" w:hAnsi="Verdana"/>
          <w:sz w:val="28"/>
          <w:szCs w:val="28"/>
        </w:rPr>
      </w:pPr>
      <w:r w:rsidRPr="008615A6">
        <w:rPr>
          <w:rFonts w:ascii="Verdana" w:hAnsi="Verdana"/>
          <w:sz w:val="28"/>
          <w:szCs w:val="28"/>
        </w:rPr>
        <w:t xml:space="preserve">Administración: </w:t>
      </w:r>
    </w:p>
    <w:p w:rsidR="008615A6" w:rsidRPr="008615A6" w:rsidRDefault="008615A6" w:rsidP="007B5D1A">
      <w:pPr>
        <w:jc w:val="both"/>
        <w:rPr>
          <w:rFonts w:ascii="Verdana" w:hAnsi="Verdana"/>
          <w:sz w:val="28"/>
          <w:szCs w:val="28"/>
        </w:rPr>
      </w:pPr>
      <w:r>
        <w:rPr>
          <w:rFonts w:ascii="Verdana" w:hAnsi="Verdana"/>
          <w:sz w:val="28"/>
          <w:szCs w:val="28"/>
        </w:rPr>
        <w:t>S</w:t>
      </w:r>
      <w:r w:rsidRPr="008615A6">
        <w:rPr>
          <w:rFonts w:ascii="Verdana" w:hAnsi="Verdana"/>
          <w:sz w:val="28"/>
          <w:szCs w:val="28"/>
        </w:rPr>
        <w:t>eguridad jurídica y económica sobre el cumplimiento del objeto del contrato, sus plazos y cuantías económicas</w:t>
      </w:r>
    </w:p>
    <w:p w:rsidR="008615A6" w:rsidRDefault="008615A6" w:rsidP="007B5D1A">
      <w:pPr>
        <w:jc w:val="both"/>
        <w:rPr>
          <w:rFonts w:ascii="Verdana" w:hAnsi="Verdana"/>
          <w:sz w:val="28"/>
          <w:szCs w:val="28"/>
        </w:rPr>
      </w:pPr>
      <w:r w:rsidRPr="008615A6">
        <w:rPr>
          <w:rFonts w:ascii="Verdana" w:hAnsi="Verdana"/>
          <w:sz w:val="28"/>
          <w:szCs w:val="28"/>
        </w:rPr>
        <w:t xml:space="preserve">Las entidades no podemos estar dependiendo de la derivación de plazas o no, minoración de presupuesto de forma imprevisible cada año </w:t>
      </w:r>
    </w:p>
    <w:p w:rsidR="008615A6" w:rsidRPr="008615A6" w:rsidRDefault="008615A6" w:rsidP="007B5D1A">
      <w:pPr>
        <w:jc w:val="both"/>
        <w:rPr>
          <w:rFonts w:ascii="Verdana" w:hAnsi="Verdana"/>
          <w:sz w:val="28"/>
          <w:szCs w:val="28"/>
        </w:rPr>
      </w:pPr>
    </w:p>
    <w:p w:rsidR="008615A6" w:rsidRDefault="008615A6" w:rsidP="007B5D1A">
      <w:pPr>
        <w:jc w:val="both"/>
        <w:rPr>
          <w:rFonts w:ascii="Verdana" w:hAnsi="Verdana"/>
          <w:sz w:val="28"/>
          <w:szCs w:val="28"/>
        </w:rPr>
      </w:pPr>
      <w:r w:rsidRPr="008615A6">
        <w:rPr>
          <w:rFonts w:ascii="Verdana" w:hAnsi="Verdana"/>
          <w:sz w:val="28"/>
          <w:szCs w:val="28"/>
        </w:rPr>
        <w:t>Es imprescindible para:</w:t>
      </w:r>
    </w:p>
    <w:p w:rsidR="008615A6" w:rsidRDefault="008615A6" w:rsidP="007B5D1A">
      <w:pPr>
        <w:jc w:val="both"/>
        <w:rPr>
          <w:rFonts w:ascii="Verdana" w:hAnsi="Verdana"/>
          <w:sz w:val="28"/>
          <w:szCs w:val="28"/>
        </w:rPr>
      </w:pPr>
    </w:p>
    <w:p w:rsidR="008615A6" w:rsidRPr="008615A6" w:rsidRDefault="008615A6" w:rsidP="007B5D1A">
      <w:pPr>
        <w:pStyle w:val="Prrafodelista"/>
        <w:numPr>
          <w:ilvl w:val="0"/>
          <w:numId w:val="3"/>
        </w:numPr>
        <w:jc w:val="both"/>
        <w:rPr>
          <w:rFonts w:ascii="Verdana" w:hAnsi="Verdana"/>
          <w:sz w:val="28"/>
          <w:szCs w:val="28"/>
        </w:rPr>
      </w:pPr>
      <w:r w:rsidRPr="008615A6">
        <w:rPr>
          <w:rFonts w:ascii="Verdana" w:hAnsi="Verdana"/>
          <w:sz w:val="28"/>
          <w:szCs w:val="28"/>
        </w:rPr>
        <w:t>Asegurar el derecho de la persona con discapacidad y de su familia al servicio que le corresponde.</w:t>
      </w:r>
    </w:p>
    <w:p w:rsidR="008615A6" w:rsidRDefault="008615A6" w:rsidP="007B5D1A">
      <w:pPr>
        <w:jc w:val="both"/>
        <w:rPr>
          <w:rFonts w:ascii="Verdana" w:hAnsi="Verdana"/>
          <w:sz w:val="28"/>
          <w:szCs w:val="28"/>
        </w:rPr>
      </w:pPr>
    </w:p>
    <w:p w:rsidR="008615A6" w:rsidRPr="008615A6" w:rsidRDefault="008615A6" w:rsidP="007B5D1A">
      <w:pPr>
        <w:pStyle w:val="Prrafodelista"/>
        <w:numPr>
          <w:ilvl w:val="0"/>
          <w:numId w:val="3"/>
        </w:numPr>
        <w:jc w:val="both"/>
        <w:rPr>
          <w:rFonts w:ascii="Verdana" w:hAnsi="Verdana"/>
          <w:sz w:val="28"/>
          <w:szCs w:val="28"/>
        </w:rPr>
      </w:pPr>
      <w:r w:rsidRPr="008615A6">
        <w:rPr>
          <w:rFonts w:ascii="Verdana" w:hAnsi="Verdana"/>
          <w:sz w:val="28"/>
          <w:szCs w:val="28"/>
        </w:rPr>
        <w:t>Asegurar una gestión, también social, de las entidades gestoras sobre la sostenibilidad en el empleo, asegurar plantillas formadas y estables, obtener la sostenibilidad económica</w:t>
      </w:r>
    </w:p>
    <w:p w:rsidR="008615A6" w:rsidRPr="008615A6" w:rsidRDefault="008615A6" w:rsidP="007B5D1A">
      <w:pPr>
        <w:jc w:val="both"/>
        <w:rPr>
          <w:rFonts w:ascii="Verdana" w:hAnsi="Verdana"/>
          <w:sz w:val="28"/>
          <w:szCs w:val="28"/>
        </w:rPr>
      </w:pPr>
    </w:p>
    <w:p w:rsidR="008615A6" w:rsidRPr="008615A6" w:rsidRDefault="008615A6" w:rsidP="007B5D1A">
      <w:pPr>
        <w:pStyle w:val="Prrafodelista"/>
        <w:numPr>
          <w:ilvl w:val="0"/>
          <w:numId w:val="3"/>
        </w:numPr>
        <w:jc w:val="both"/>
        <w:rPr>
          <w:rFonts w:ascii="Verdana" w:hAnsi="Verdana"/>
          <w:sz w:val="28"/>
          <w:szCs w:val="28"/>
        </w:rPr>
      </w:pPr>
      <w:r w:rsidRPr="008615A6">
        <w:rPr>
          <w:rFonts w:ascii="Verdana" w:hAnsi="Verdana"/>
          <w:sz w:val="28"/>
          <w:szCs w:val="28"/>
        </w:rPr>
        <w:t>Aseguramiento de la ocupación de plazas anuales por parte de la administración. Para ello reevaluar sistema de acceso del usuario si fuera necesario, convirtiendo automáticamente en plazas concertadas plazas privadas que se estuviesen ocupando en ese momento.</w:t>
      </w:r>
    </w:p>
    <w:p w:rsidR="008615A6" w:rsidRPr="008615A6" w:rsidRDefault="008615A6" w:rsidP="007B5D1A">
      <w:pPr>
        <w:jc w:val="both"/>
        <w:rPr>
          <w:rFonts w:ascii="Verdana" w:hAnsi="Verdana"/>
          <w:sz w:val="28"/>
          <w:szCs w:val="28"/>
        </w:rPr>
      </w:pPr>
    </w:p>
    <w:p w:rsidR="008615A6" w:rsidRPr="008615A6" w:rsidRDefault="008615A6" w:rsidP="007B5D1A">
      <w:pPr>
        <w:pStyle w:val="Prrafodelista"/>
        <w:numPr>
          <w:ilvl w:val="0"/>
          <w:numId w:val="3"/>
        </w:numPr>
        <w:tabs>
          <w:tab w:val="left" w:pos="284"/>
        </w:tabs>
        <w:ind w:left="0" w:firstLine="0"/>
        <w:jc w:val="both"/>
        <w:rPr>
          <w:rFonts w:ascii="Verdana" w:hAnsi="Verdana"/>
          <w:sz w:val="28"/>
          <w:szCs w:val="28"/>
        </w:rPr>
      </w:pPr>
      <w:r w:rsidRPr="008615A6">
        <w:rPr>
          <w:rFonts w:ascii="Verdana" w:hAnsi="Verdana"/>
          <w:sz w:val="28"/>
          <w:szCs w:val="28"/>
        </w:rPr>
        <w:t xml:space="preserve">Aseguramiento de los procesos de valoración de </w:t>
      </w:r>
      <w:r>
        <w:rPr>
          <w:rFonts w:ascii="Verdana" w:hAnsi="Verdana"/>
          <w:sz w:val="28"/>
          <w:szCs w:val="28"/>
        </w:rPr>
        <w:tab/>
      </w:r>
      <w:r>
        <w:rPr>
          <w:rFonts w:ascii="Verdana" w:hAnsi="Verdana"/>
          <w:sz w:val="28"/>
          <w:szCs w:val="28"/>
        </w:rPr>
        <w:tab/>
      </w:r>
      <w:r>
        <w:rPr>
          <w:rFonts w:ascii="Verdana" w:hAnsi="Verdana"/>
          <w:sz w:val="28"/>
          <w:szCs w:val="28"/>
        </w:rPr>
        <w:tab/>
      </w:r>
      <w:r w:rsidRPr="008615A6">
        <w:rPr>
          <w:rFonts w:ascii="Verdana" w:hAnsi="Verdana"/>
          <w:sz w:val="28"/>
          <w:szCs w:val="28"/>
        </w:rPr>
        <w:t xml:space="preserve">usuarios y asignación de servicios: 1 mes desde la </w:t>
      </w:r>
      <w:r>
        <w:rPr>
          <w:rFonts w:ascii="Verdana" w:hAnsi="Verdana"/>
          <w:sz w:val="28"/>
          <w:szCs w:val="28"/>
        </w:rPr>
        <w:tab/>
      </w:r>
      <w:r>
        <w:rPr>
          <w:rFonts w:ascii="Verdana" w:hAnsi="Verdana"/>
          <w:sz w:val="28"/>
          <w:szCs w:val="28"/>
        </w:rPr>
        <w:tab/>
      </w:r>
      <w:r w:rsidRPr="008615A6">
        <w:rPr>
          <w:rFonts w:ascii="Verdana" w:hAnsi="Verdana"/>
          <w:sz w:val="28"/>
          <w:szCs w:val="28"/>
        </w:rPr>
        <w:t>fecha de solicitud</w:t>
      </w:r>
      <w:r>
        <w:rPr>
          <w:rFonts w:ascii="Verdana" w:hAnsi="Verdana"/>
          <w:sz w:val="28"/>
          <w:szCs w:val="28"/>
        </w:rPr>
        <w:t xml:space="preserve"> </w:t>
      </w:r>
      <w:r w:rsidRPr="008615A6">
        <w:rPr>
          <w:rFonts w:ascii="Verdana" w:hAnsi="Verdana"/>
          <w:sz w:val="28"/>
          <w:szCs w:val="28"/>
        </w:rPr>
        <w:t xml:space="preserve">Si no se obtuviese esta regularidad </w:t>
      </w:r>
      <w:r>
        <w:rPr>
          <w:rFonts w:ascii="Verdana" w:hAnsi="Verdana"/>
          <w:sz w:val="28"/>
          <w:szCs w:val="28"/>
        </w:rPr>
        <w:tab/>
      </w:r>
      <w:r>
        <w:rPr>
          <w:rFonts w:ascii="Verdana" w:hAnsi="Verdana"/>
          <w:sz w:val="28"/>
          <w:szCs w:val="28"/>
        </w:rPr>
        <w:tab/>
      </w:r>
      <w:r w:rsidRPr="008615A6">
        <w:rPr>
          <w:rFonts w:ascii="Verdana" w:hAnsi="Verdana"/>
          <w:sz w:val="28"/>
          <w:szCs w:val="28"/>
        </w:rPr>
        <w:t xml:space="preserve">de entrada mensual, autorizar a los centros </w:t>
      </w:r>
      <w:r>
        <w:rPr>
          <w:rFonts w:ascii="Verdana" w:hAnsi="Verdana"/>
          <w:sz w:val="28"/>
          <w:szCs w:val="28"/>
        </w:rPr>
        <w:tab/>
      </w:r>
      <w:r>
        <w:rPr>
          <w:rFonts w:ascii="Verdana" w:hAnsi="Verdana"/>
          <w:sz w:val="28"/>
          <w:szCs w:val="28"/>
        </w:rPr>
        <w:tab/>
      </w:r>
      <w:r>
        <w:rPr>
          <w:rFonts w:ascii="Verdana" w:hAnsi="Verdana"/>
          <w:sz w:val="28"/>
          <w:szCs w:val="28"/>
        </w:rPr>
        <w:lastRenderedPageBreak/>
        <w:tab/>
      </w:r>
      <w:r>
        <w:rPr>
          <w:rFonts w:ascii="Verdana" w:hAnsi="Verdana"/>
          <w:sz w:val="28"/>
          <w:szCs w:val="28"/>
        </w:rPr>
        <w:tab/>
      </w:r>
      <w:r w:rsidRPr="008615A6">
        <w:rPr>
          <w:rFonts w:ascii="Verdana" w:hAnsi="Verdana"/>
          <w:sz w:val="28"/>
          <w:szCs w:val="28"/>
        </w:rPr>
        <w:t xml:space="preserve">contratados la gestión privada de los usuarios hasta la </w:t>
      </w:r>
      <w:r>
        <w:rPr>
          <w:rFonts w:ascii="Verdana" w:hAnsi="Verdana"/>
          <w:sz w:val="28"/>
          <w:szCs w:val="28"/>
        </w:rPr>
        <w:tab/>
      </w:r>
      <w:r>
        <w:rPr>
          <w:rFonts w:ascii="Verdana" w:hAnsi="Verdana"/>
          <w:sz w:val="28"/>
          <w:szCs w:val="28"/>
        </w:rPr>
        <w:tab/>
      </w:r>
      <w:r w:rsidRPr="008615A6">
        <w:rPr>
          <w:rFonts w:ascii="Verdana" w:hAnsi="Verdana"/>
          <w:sz w:val="28"/>
          <w:szCs w:val="28"/>
        </w:rPr>
        <w:t>valoración positiva por parte del IASS, con efecto retroactivo del reconocimiento a la fecha de entrada en servicio privado.</w:t>
      </w:r>
    </w:p>
    <w:p w:rsidR="008615A6" w:rsidRPr="008615A6" w:rsidRDefault="008615A6" w:rsidP="007B5D1A">
      <w:pPr>
        <w:jc w:val="both"/>
        <w:rPr>
          <w:rFonts w:ascii="Verdana" w:hAnsi="Verdana"/>
          <w:sz w:val="28"/>
          <w:szCs w:val="28"/>
        </w:rPr>
      </w:pPr>
    </w:p>
    <w:p w:rsidR="008615A6" w:rsidRPr="008615A6" w:rsidRDefault="008615A6" w:rsidP="007B5D1A">
      <w:pPr>
        <w:jc w:val="both"/>
        <w:rPr>
          <w:rFonts w:ascii="Verdana" w:hAnsi="Verdana"/>
          <w:sz w:val="28"/>
          <w:szCs w:val="28"/>
        </w:rPr>
      </w:pPr>
      <w:r w:rsidRPr="008615A6">
        <w:rPr>
          <w:rFonts w:ascii="Verdana" w:hAnsi="Verdana"/>
          <w:sz w:val="28"/>
          <w:szCs w:val="28"/>
        </w:rPr>
        <w:t>Incumplimiento de estas cláusulas: deben llevan compensación económica para la entidad aparejada</w:t>
      </w:r>
    </w:p>
    <w:p w:rsidR="008615A6" w:rsidRPr="008615A6" w:rsidRDefault="008615A6" w:rsidP="007B5D1A">
      <w:pPr>
        <w:jc w:val="both"/>
        <w:rPr>
          <w:rFonts w:ascii="Verdana" w:hAnsi="Verdana"/>
          <w:sz w:val="28"/>
          <w:szCs w:val="28"/>
        </w:rPr>
      </w:pPr>
    </w:p>
    <w:p w:rsidR="008615A6" w:rsidRPr="008615A6" w:rsidRDefault="008615A6" w:rsidP="007B5D1A">
      <w:pPr>
        <w:jc w:val="both"/>
        <w:rPr>
          <w:rFonts w:ascii="Verdana" w:hAnsi="Verdana"/>
          <w:sz w:val="28"/>
          <w:szCs w:val="28"/>
        </w:rPr>
      </w:pPr>
      <w:r w:rsidRPr="008615A6">
        <w:rPr>
          <w:rFonts w:ascii="Verdana" w:hAnsi="Verdana"/>
          <w:sz w:val="28"/>
          <w:szCs w:val="28"/>
        </w:rPr>
        <w:t>Entidades</w:t>
      </w:r>
    </w:p>
    <w:p w:rsidR="008615A6" w:rsidRDefault="008615A6" w:rsidP="007B5D1A">
      <w:pPr>
        <w:jc w:val="both"/>
        <w:rPr>
          <w:rFonts w:ascii="Verdana" w:hAnsi="Verdana"/>
          <w:sz w:val="28"/>
          <w:szCs w:val="28"/>
        </w:rPr>
      </w:pPr>
      <w:r w:rsidRPr="008615A6">
        <w:rPr>
          <w:rFonts w:ascii="Verdana" w:hAnsi="Verdana"/>
          <w:sz w:val="28"/>
          <w:szCs w:val="28"/>
        </w:rPr>
        <w:t>- Adoptar todos los medios de transparencia y clausulas sociales obligados</w:t>
      </w:r>
    </w:p>
    <w:p w:rsidR="008615A6" w:rsidRPr="008615A6" w:rsidRDefault="008615A6" w:rsidP="007B5D1A">
      <w:pPr>
        <w:jc w:val="both"/>
        <w:rPr>
          <w:rFonts w:ascii="Verdana" w:hAnsi="Verdana"/>
          <w:sz w:val="28"/>
          <w:szCs w:val="28"/>
        </w:rPr>
      </w:pPr>
    </w:p>
    <w:p w:rsidR="008615A6" w:rsidRDefault="008615A6" w:rsidP="007B5D1A">
      <w:pPr>
        <w:jc w:val="both"/>
        <w:rPr>
          <w:rFonts w:ascii="Verdana" w:hAnsi="Verdana"/>
          <w:sz w:val="28"/>
          <w:szCs w:val="28"/>
        </w:rPr>
      </w:pPr>
      <w:r w:rsidRPr="008615A6">
        <w:rPr>
          <w:rFonts w:ascii="Verdana" w:hAnsi="Verdana"/>
          <w:sz w:val="28"/>
          <w:szCs w:val="28"/>
        </w:rPr>
        <w:t>- Colaborar con la administración en la adaptación de los servicios y medios en la prestación de los servicios adecuándolos a las necesidades y cambios sociales en la población,  a través de la formación de sus profesionales y adaptación de los planes individuales</w:t>
      </w:r>
      <w:r>
        <w:rPr>
          <w:rFonts w:ascii="Verdana" w:hAnsi="Verdana"/>
          <w:sz w:val="28"/>
          <w:szCs w:val="28"/>
        </w:rPr>
        <w:t>.</w:t>
      </w:r>
    </w:p>
    <w:p w:rsidR="008615A6" w:rsidRPr="008615A6" w:rsidRDefault="008615A6" w:rsidP="007B5D1A">
      <w:pPr>
        <w:jc w:val="both"/>
        <w:rPr>
          <w:rFonts w:ascii="Verdana" w:hAnsi="Verdana"/>
          <w:sz w:val="28"/>
          <w:szCs w:val="28"/>
        </w:rPr>
      </w:pPr>
    </w:p>
    <w:p w:rsidR="00DE085A" w:rsidRPr="008615A6" w:rsidRDefault="008615A6" w:rsidP="007B5D1A">
      <w:pPr>
        <w:jc w:val="both"/>
        <w:rPr>
          <w:rFonts w:ascii="Verdana" w:hAnsi="Verdana"/>
          <w:sz w:val="28"/>
          <w:szCs w:val="28"/>
        </w:rPr>
      </w:pPr>
      <w:r w:rsidRPr="008615A6">
        <w:rPr>
          <w:rFonts w:ascii="Verdana" w:hAnsi="Verdana"/>
          <w:sz w:val="28"/>
          <w:szCs w:val="28"/>
        </w:rPr>
        <w:t>- Estar sujeta a inspecciones, mediciones y evaluaciones externas por parte de la administración</w:t>
      </w:r>
    </w:p>
    <w:sectPr w:rsidR="00DE085A" w:rsidRPr="008615A6" w:rsidSect="00DE085A">
      <w:headerReference w:type="default" r:id="rId8"/>
      <w:footerReference w:type="default" r:id="rId9"/>
      <w:type w:val="continuous"/>
      <w:pgSz w:w="11910" w:h="16840"/>
      <w:pgMar w:top="1580" w:right="168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756" w:rsidRDefault="00A55756" w:rsidP="000B5CCE">
      <w:r>
        <w:separator/>
      </w:r>
    </w:p>
  </w:endnote>
  <w:endnote w:type="continuationSeparator" w:id="0">
    <w:p w:rsidR="00A55756" w:rsidRDefault="00A55756" w:rsidP="000B5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CCE" w:rsidRDefault="000B5CCE" w:rsidP="000B5CCE">
    <w:pPr>
      <w:pStyle w:val="Piedepgina"/>
      <w:jc w:val="center"/>
      <w:rPr>
        <w:rFonts w:ascii="Verdana" w:hAnsi="Verdana"/>
        <w:color w:val="000080"/>
        <w:sz w:val="20"/>
        <w:szCs w:val="20"/>
      </w:rPr>
    </w:pPr>
    <w:r w:rsidRPr="008E1DD0">
      <w:rPr>
        <w:rFonts w:ascii="Verdana" w:hAnsi="Verdana"/>
        <w:color w:val="000080"/>
        <w:sz w:val="20"/>
        <w:szCs w:val="20"/>
      </w:rPr>
      <w:t>C/</w:t>
    </w:r>
    <w:r w:rsidRPr="00374FCB">
      <w:rPr>
        <w:rFonts w:ascii="Verdana" w:hAnsi="Verdana"/>
        <w:color w:val="000080"/>
        <w:sz w:val="20"/>
        <w:szCs w:val="20"/>
      </w:rPr>
      <w:t>Concepción Sáiz de Otero, 10 • 50018 • Zaragoza</w:t>
    </w:r>
  </w:p>
  <w:p w:rsidR="000B5CCE" w:rsidRPr="00652E1E" w:rsidRDefault="000B5CCE" w:rsidP="000B5CCE">
    <w:pPr>
      <w:pStyle w:val="Piedepgina"/>
      <w:jc w:val="center"/>
      <w:rPr>
        <w:rStyle w:val="Nmerodepgina"/>
        <w:rFonts w:ascii="Verdana" w:hAnsi="Verdana"/>
        <w:color w:val="000080"/>
        <w:sz w:val="20"/>
        <w:szCs w:val="20"/>
        <w:lang w:val="en-US"/>
      </w:rPr>
    </w:pPr>
    <w:r w:rsidRPr="00652E1E">
      <w:rPr>
        <w:rFonts w:ascii="Verdana" w:hAnsi="Verdana"/>
        <w:color w:val="000080"/>
        <w:sz w:val="20"/>
        <w:szCs w:val="20"/>
        <w:lang w:val="en-US"/>
      </w:rPr>
      <w:t xml:space="preserve">Tfno.: 976 106 265 • </w:t>
    </w:r>
    <w:r w:rsidRPr="00652E1E">
      <w:rPr>
        <w:rStyle w:val="Nmerodepgina"/>
        <w:rFonts w:ascii="Verdana" w:hAnsi="Verdana"/>
        <w:color w:val="000080"/>
        <w:sz w:val="20"/>
        <w:szCs w:val="20"/>
        <w:lang w:val="en-US"/>
      </w:rPr>
      <w:t>cermiaragon@cermiaragon.es</w:t>
    </w:r>
  </w:p>
  <w:p w:rsidR="000B5CCE" w:rsidRPr="000B5CCE" w:rsidRDefault="000B5CCE" w:rsidP="000B5CCE">
    <w:pPr>
      <w:pStyle w:val="Piedepgina"/>
      <w:rPr>
        <w:lang w:val="en-US"/>
      </w:rPr>
    </w:pPr>
    <w:r w:rsidRPr="00652E1E">
      <w:rPr>
        <w:rStyle w:val="Nmerodepgina"/>
        <w:rFonts w:ascii="Verdana" w:hAnsi="Verdana"/>
        <w:color w:val="000080"/>
        <w:sz w:val="20"/>
        <w:szCs w:val="20"/>
        <w:lang w:val="en-US"/>
      </w:rPr>
      <w:tab/>
    </w:r>
    <w:hyperlink r:id="rId1" w:history="1">
      <w:r w:rsidRPr="00652E1E">
        <w:rPr>
          <w:rStyle w:val="Hipervnculo"/>
          <w:rFonts w:ascii="Verdana" w:hAnsi="Verdana"/>
          <w:sz w:val="20"/>
          <w:szCs w:val="20"/>
          <w:lang w:val="en-US"/>
        </w:rPr>
        <w:t>www.cermiaragon.es</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756" w:rsidRDefault="00A55756" w:rsidP="000B5CCE">
      <w:r>
        <w:separator/>
      </w:r>
    </w:p>
  </w:footnote>
  <w:footnote w:type="continuationSeparator" w:id="0">
    <w:p w:rsidR="00A55756" w:rsidRDefault="00A55756" w:rsidP="000B5C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CCE" w:rsidRDefault="000B5CCE">
    <w:pPr>
      <w:pStyle w:val="Encabezado"/>
    </w:pPr>
    <w:r w:rsidRPr="000B5CCE">
      <w:rPr>
        <w:noProof/>
        <w:lang w:eastAsia="es-ES"/>
      </w:rPr>
      <w:drawing>
        <wp:anchor distT="0" distB="0" distL="114300" distR="114300" simplePos="0" relativeHeight="251659264" behindDoc="0" locked="0" layoutInCell="1" allowOverlap="1">
          <wp:simplePos x="0" y="0"/>
          <wp:positionH relativeFrom="column">
            <wp:posOffset>5034915</wp:posOffset>
          </wp:positionH>
          <wp:positionV relativeFrom="paragraph">
            <wp:posOffset>-322580</wp:posOffset>
          </wp:positionV>
          <wp:extent cx="1045845" cy="723265"/>
          <wp:effectExtent l="19050" t="0" r="1905" b="0"/>
          <wp:wrapThrough wrapText="bothSides">
            <wp:wrapPolygon edited="0">
              <wp:start x="-393" y="0"/>
              <wp:lineTo x="-393" y="21050"/>
              <wp:lineTo x="21639" y="21050"/>
              <wp:lineTo x="21639" y="0"/>
              <wp:lineTo x="-393" y="0"/>
            </wp:wrapPolygon>
          </wp:wrapThrough>
          <wp:docPr id="2" name="0 Imagen" descr="CERMI-Aragó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MI-Aragón.tif"/>
                  <pic:cNvPicPr/>
                </pic:nvPicPr>
                <pic:blipFill>
                  <a:blip r:embed="rId1"/>
                  <a:stretch>
                    <a:fillRect/>
                  </a:stretch>
                </pic:blipFill>
                <pic:spPr>
                  <a:xfrm>
                    <a:off x="0" y="0"/>
                    <a:ext cx="1045845" cy="72326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304D8"/>
    <w:multiLevelType w:val="hybridMultilevel"/>
    <w:tmpl w:val="C2CA77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3A30732"/>
    <w:multiLevelType w:val="hybridMultilevel"/>
    <w:tmpl w:val="76A8AF9E"/>
    <w:lvl w:ilvl="0" w:tplc="EB14E7F2">
      <w:numFmt w:val="bullet"/>
      <w:lvlText w:val="-"/>
      <w:lvlJc w:val="left"/>
      <w:pPr>
        <w:ind w:left="1084" w:hanging="214"/>
      </w:pPr>
      <w:rPr>
        <w:rFonts w:hint="default"/>
        <w:spacing w:val="-3"/>
        <w:w w:val="99"/>
        <w:lang w:val="es-ES" w:eastAsia="en-US" w:bidi="ar-SA"/>
      </w:rPr>
    </w:lvl>
    <w:lvl w:ilvl="1" w:tplc="E5EEA28C">
      <w:numFmt w:val="bullet"/>
      <w:lvlText w:val="•"/>
      <w:lvlJc w:val="left"/>
      <w:pPr>
        <w:ind w:left="1826" w:hanging="214"/>
      </w:pPr>
      <w:rPr>
        <w:rFonts w:hint="default"/>
        <w:lang w:val="es-ES" w:eastAsia="en-US" w:bidi="ar-SA"/>
      </w:rPr>
    </w:lvl>
    <w:lvl w:ilvl="2" w:tplc="40E297A2">
      <w:numFmt w:val="bullet"/>
      <w:lvlText w:val="•"/>
      <w:lvlJc w:val="left"/>
      <w:pPr>
        <w:ind w:left="2573" w:hanging="214"/>
      </w:pPr>
      <w:rPr>
        <w:rFonts w:hint="default"/>
        <w:lang w:val="es-ES" w:eastAsia="en-US" w:bidi="ar-SA"/>
      </w:rPr>
    </w:lvl>
    <w:lvl w:ilvl="3" w:tplc="B9DCAD6A">
      <w:numFmt w:val="bullet"/>
      <w:lvlText w:val="•"/>
      <w:lvlJc w:val="left"/>
      <w:pPr>
        <w:ind w:left="3319" w:hanging="214"/>
      </w:pPr>
      <w:rPr>
        <w:rFonts w:hint="default"/>
        <w:lang w:val="es-ES" w:eastAsia="en-US" w:bidi="ar-SA"/>
      </w:rPr>
    </w:lvl>
    <w:lvl w:ilvl="4" w:tplc="65EA1A2E">
      <w:numFmt w:val="bullet"/>
      <w:lvlText w:val="•"/>
      <w:lvlJc w:val="left"/>
      <w:pPr>
        <w:ind w:left="4066" w:hanging="214"/>
      </w:pPr>
      <w:rPr>
        <w:rFonts w:hint="default"/>
        <w:lang w:val="es-ES" w:eastAsia="en-US" w:bidi="ar-SA"/>
      </w:rPr>
    </w:lvl>
    <w:lvl w:ilvl="5" w:tplc="AFA6ED92">
      <w:numFmt w:val="bullet"/>
      <w:lvlText w:val="•"/>
      <w:lvlJc w:val="left"/>
      <w:pPr>
        <w:ind w:left="4813" w:hanging="214"/>
      </w:pPr>
      <w:rPr>
        <w:rFonts w:hint="default"/>
        <w:lang w:val="es-ES" w:eastAsia="en-US" w:bidi="ar-SA"/>
      </w:rPr>
    </w:lvl>
    <w:lvl w:ilvl="6" w:tplc="85C6931A">
      <w:numFmt w:val="bullet"/>
      <w:lvlText w:val="•"/>
      <w:lvlJc w:val="left"/>
      <w:pPr>
        <w:ind w:left="5559" w:hanging="214"/>
      </w:pPr>
      <w:rPr>
        <w:rFonts w:hint="default"/>
        <w:lang w:val="es-ES" w:eastAsia="en-US" w:bidi="ar-SA"/>
      </w:rPr>
    </w:lvl>
    <w:lvl w:ilvl="7" w:tplc="C13EF4EC">
      <w:numFmt w:val="bullet"/>
      <w:lvlText w:val="•"/>
      <w:lvlJc w:val="left"/>
      <w:pPr>
        <w:ind w:left="6306" w:hanging="214"/>
      </w:pPr>
      <w:rPr>
        <w:rFonts w:hint="default"/>
        <w:lang w:val="es-ES" w:eastAsia="en-US" w:bidi="ar-SA"/>
      </w:rPr>
    </w:lvl>
    <w:lvl w:ilvl="8" w:tplc="B74E98F4">
      <w:numFmt w:val="bullet"/>
      <w:lvlText w:val="•"/>
      <w:lvlJc w:val="left"/>
      <w:pPr>
        <w:ind w:left="7053" w:hanging="214"/>
      </w:pPr>
      <w:rPr>
        <w:rFonts w:hint="default"/>
        <w:lang w:val="es-ES" w:eastAsia="en-US" w:bidi="ar-SA"/>
      </w:rPr>
    </w:lvl>
  </w:abstractNum>
  <w:abstractNum w:abstractNumId="2">
    <w:nsid w:val="7D2A0DC5"/>
    <w:multiLevelType w:val="hybridMultilevel"/>
    <w:tmpl w:val="6A20D63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DE085A"/>
    <w:rsid w:val="000B5CCE"/>
    <w:rsid w:val="002A00F0"/>
    <w:rsid w:val="003B54F7"/>
    <w:rsid w:val="00584EF2"/>
    <w:rsid w:val="00727614"/>
    <w:rsid w:val="00750979"/>
    <w:rsid w:val="007B5D1A"/>
    <w:rsid w:val="007F4A69"/>
    <w:rsid w:val="008615A6"/>
    <w:rsid w:val="009F415D"/>
    <w:rsid w:val="00A55756"/>
    <w:rsid w:val="00C01A9B"/>
    <w:rsid w:val="00CF48F2"/>
    <w:rsid w:val="00DA58B9"/>
    <w:rsid w:val="00DE08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E085A"/>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DE085A"/>
    <w:tblPr>
      <w:tblInd w:w="0" w:type="dxa"/>
      <w:tblCellMar>
        <w:top w:w="0" w:type="dxa"/>
        <w:left w:w="0" w:type="dxa"/>
        <w:bottom w:w="0" w:type="dxa"/>
        <w:right w:w="0" w:type="dxa"/>
      </w:tblCellMar>
    </w:tblPr>
  </w:style>
  <w:style w:type="paragraph" w:styleId="Textoindependiente">
    <w:name w:val="Body Text"/>
    <w:basedOn w:val="Normal"/>
    <w:uiPriority w:val="1"/>
    <w:qFormat/>
    <w:rsid w:val="00DE085A"/>
    <w:rPr>
      <w:sz w:val="24"/>
      <w:szCs w:val="24"/>
    </w:rPr>
  </w:style>
  <w:style w:type="paragraph" w:styleId="Ttulo">
    <w:name w:val="Title"/>
    <w:basedOn w:val="Normal"/>
    <w:uiPriority w:val="1"/>
    <w:qFormat/>
    <w:rsid w:val="00DE085A"/>
    <w:pPr>
      <w:spacing w:before="219"/>
      <w:ind w:left="1372" w:right="1374"/>
      <w:jc w:val="center"/>
    </w:pPr>
    <w:rPr>
      <w:b/>
      <w:bCs/>
      <w:sz w:val="32"/>
      <w:szCs w:val="32"/>
    </w:rPr>
  </w:style>
  <w:style w:type="paragraph" w:styleId="Prrafodelista">
    <w:name w:val="List Paragraph"/>
    <w:basedOn w:val="Normal"/>
    <w:uiPriority w:val="1"/>
    <w:qFormat/>
    <w:rsid w:val="00DE085A"/>
    <w:pPr>
      <w:ind w:left="1068" w:hanging="214"/>
    </w:pPr>
  </w:style>
  <w:style w:type="paragraph" w:customStyle="1" w:styleId="TableParagraph">
    <w:name w:val="Table Paragraph"/>
    <w:basedOn w:val="Normal"/>
    <w:uiPriority w:val="1"/>
    <w:qFormat/>
    <w:rsid w:val="00DE085A"/>
  </w:style>
  <w:style w:type="paragraph" w:styleId="Textodeglobo">
    <w:name w:val="Balloon Text"/>
    <w:basedOn w:val="Normal"/>
    <w:link w:val="TextodegloboCar"/>
    <w:uiPriority w:val="99"/>
    <w:semiHidden/>
    <w:unhideWhenUsed/>
    <w:rsid w:val="000B5CCE"/>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CCE"/>
    <w:rPr>
      <w:rFonts w:ascii="Tahoma" w:eastAsia="Arial" w:hAnsi="Tahoma" w:cs="Tahoma"/>
      <w:sz w:val="16"/>
      <w:szCs w:val="16"/>
      <w:lang w:val="es-ES"/>
    </w:rPr>
  </w:style>
  <w:style w:type="paragraph" w:styleId="Encabezado">
    <w:name w:val="header"/>
    <w:basedOn w:val="Normal"/>
    <w:link w:val="EncabezadoCar"/>
    <w:uiPriority w:val="99"/>
    <w:unhideWhenUsed/>
    <w:rsid w:val="000B5CCE"/>
    <w:pPr>
      <w:tabs>
        <w:tab w:val="center" w:pos="4252"/>
        <w:tab w:val="right" w:pos="8504"/>
      </w:tabs>
    </w:pPr>
  </w:style>
  <w:style w:type="character" w:customStyle="1" w:styleId="EncabezadoCar">
    <w:name w:val="Encabezado Car"/>
    <w:basedOn w:val="Fuentedeprrafopredeter"/>
    <w:link w:val="Encabezado"/>
    <w:uiPriority w:val="99"/>
    <w:rsid w:val="000B5CCE"/>
    <w:rPr>
      <w:rFonts w:ascii="Arial" w:eastAsia="Arial" w:hAnsi="Arial" w:cs="Arial"/>
      <w:lang w:val="es-ES"/>
    </w:rPr>
  </w:style>
  <w:style w:type="paragraph" w:styleId="Piedepgina">
    <w:name w:val="footer"/>
    <w:basedOn w:val="Normal"/>
    <w:link w:val="PiedepginaCar"/>
    <w:unhideWhenUsed/>
    <w:rsid w:val="000B5CCE"/>
    <w:pPr>
      <w:tabs>
        <w:tab w:val="center" w:pos="4252"/>
        <w:tab w:val="right" w:pos="8504"/>
      </w:tabs>
    </w:pPr>
  </w:style>
  <w:style w:type="character" w:customStyle="1" w:styleId="PiedepginaCar">
    <w:name w:val="Pie de página Car"/>
    <w:basedOn w:val="Fuentedeprrafopredeter"/>
    <w:link w:val="Piedepgina"/>
    <w:rsid w:val="000B5CCE"/>
    <w:rPr>
      <w:rFonts w:ascii="Arial" w:eastAsia="Arial" w:hAnsi="Arial" w:cs="Arial"/>
      <w:lang w:val="es-ES"/>
    </w:rPr>
  </w:style>
  <w:style w:type="character" w:styleId="Hipervnculo">
    <w:name w:val="Hyperlink"/>
    <w:basedOn w:val="Fuentedeprrafopredeter"/>
    <w:rsid w:val="000B5CCE"/>
    <w:rPr>
      <w:color w:val="0000FF"/>
      <w:u w:val="single"/>
    </w:rPr>
  </w:style>
  <w:style w:type="character" w:styleId="Nmerodepgina">
    <w:name w:val="page number"/>
    <w:basedOn w:val="Fuentedeprrafopredeter"/>
    <w:rsid w:val="000B5CC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rmiarag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8C6201-CC66-4EF7-A918-45B1C027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707</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Usuario</cp:lastModifiedBy>
  <cp:revision>4</cp:revision>
  <dcterms:created xsi:type="dcterms:W3CDTF">2020-05-12T07:36:00Z</dcterms:created>
  <dcterms:modified xsi:type="dcterms:W3CDTF">2020-07-31T14:07:00Z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2015-02-02T00:00:00Z</vt:filetime>
  </property>
  <property fmtid="{D5CDD505-2E9C-101B-9397-08002B2CF9AE}" pid="3" name="Creator">
    <vt:lpwstr>Acrobat PDFMaker 11 para Word</vt:lpwstr>
  </property>
  <property fmtid="{D5CDD505-2E9C-101B-9397-08002B2CF9AE}" pid="4" name="LastSaved">
    <vt:filetime>2020-03-16T00:00:00Z</vt:filetime>
  </property>
</Properties>
</file>